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2"/>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8"/>
        <w:gridCol w:w="1170"/>
      </w:tblGrid>
      <w:tr w:rsidR="00305D11" w:rsidRPr="00E72307" w14:paraId="67DE48EA" w14:textId="77777777" w:rsidTr="0090536B">
        <w:trPr>
          <w:trHeight w:val="533"/>
        </w:trPr>
        <w:tc>
          <w:tcPr>
            <w:tcW w:w="8568" w:type="dxa"/>
            <w:tcBorders>
              <w:bottom w:val="single" w:sz="4" w:space="0" w:color="000000"/>
            </w:tcBorders>
            <w:shd w:val="clear" w:color="auto" w:fill="DBE5F1" w:themeFill="accent1" w:themeFillTint="33"/>
            <w:vAlign w:val="center"/>
          </w:tcPr>
          <w:p w14:paraId="3E4AF7F6" w14:textId="77777777" w:rsidR="00903BAE" w:rsidRPr="00E72307" w:rsidRDefault="00C85229"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C</w:t>
            </w:r>
            <w:r w:rsidR="006F5326">
              <w:rPr>
                <w:rFonts w:cs="Arial"/>
                <w:b/>
                <w:sz w:val="20"/>
                <w:szCs w:val="20"/>
              </w:rPr>
              <w:t>ommunity Futures</w:t>
            </w:r>
            <w:r>
              <w:rPr>
                <w:rFonts w:cs="Arial"/>
                <w:b/>
                <w:sz w:val="20"/>
                <w:szCs w:val="20"/>
              </w:rPr>
              <w:t xml:space="preserve"> Performance </w:t>
            </w:r>
            <w:r w:rsidR="006F5326">
              <w:rPr>
                <w:rFonts w:cs="Arial"/>
                <w:b/>
                <w:sz w:val="20"/>
                <w:szCs w:val="20"/>
              </w:rPr>
              <w:t>Results</w:t>
            </w:r>
          </w:p>
        </w:tc>
        <w:tc>
          <w:tcPr>
            <w:tcW w:w="1170" w:type="dxa"/>
            <w:tcBorders>
              <w:bottom w:val="single" w:sz="4" w:space="0" w:color="000000"/>
            </w:tcBorders>
            <w:shd w:val="clear" w:color="auto" w:fill="DBE5F1" w:themeFill="accent1" w:themeFillTint="33"/>
            <w:vAlign w:val="center"/>
          </w:tcPr>
          <w:p w14:paraId="5D177487" w14:textId="14E49526" w:rsidR="00305D11" w:rsidRPr="00E72307" w:rsidRDefault="000E446D" w:rsidP="006F52BA">
            <w:pPr>
              <w:keepNext/>
              <w:keepLines/>
              <w:tabs>
                <w:tab w:val="left" w:pos="6024"/>
                <w:tab w:val="left" w:pos="7159"/>
              </w:tabs>
              <w:autoSpaceDE w:val="0"/>
              <w:autoSpaceDN w:val="0"/>
              <w:adjustRightInd w:val="0"/>
              <w:jc w:val="center"/>
              <w:rPr>
                <w:rFonts w:cs="Arial"/>
                <w:b/>
                <w:sz w:val="20"/>
                <w:szCs w:val="20"/>
              </w:rPr>
            </w:pPr>
            <w:r>
              <w:rPr>
                <w:rFonts w:cs="Arial"/>
                <w:b/>
                <w:sz w:val="20"/>
                <w:szCs w:val="20"/>
              </w:rPr>
              <w:t>20</w:t>
            </w:r>
            <w:r w:rsidR="001048DF">
              <w:rPr>
                <w:rFonts w:cs="Arial"/>
                <w:b/>
                <w:sz w:val="20"/>
                <w:szCs w:val="20"/>
              </w:rPr>
              <w:t>2</w:t>
            </w:r>
            <w:r w:rsidR="00B91766">
              <w:rPr>
                <w:rFonts w:cs="Arial"/>
                <w:b/>
                <w:sz w:val="20"/>
                <w:szCs w:val="20"/>
              </w:rPr>
              <w:t>3</w:t>
            </w:r>
            <w:r w:rsidR="0090536B">
              <w:rPr>
                <w:rFonts w:cs="Arial"/>
                <w:b/>
                <w:sz w:val="20"/>
                <w:szCs w:val="20"/>
              </w:rPr>
              <w:t>-</w:t>
            </w:r>
            <w:r w:rsidR="00D97949">
              <w:rPr>
                <w:rFonts w:cs="Arial"/>
                <w:b/>
                <w:sz w:val="20"/>
                <w:szCs w:val="20"/>
              </w:rPr>
              <w:t>2</w:t>
            </w:r>
            <w:r w:rsidR="00B91766">
              <w:rPr>
                <w:rFonts w:cs="Arial"/>
                <w:b/>
                <w:sz w:val="20"/>
                <w:szCs w:val="20"/>
              </w:rPr>
              <w:t>4</w:t>
            </w:r>
          </w:p>
        </w:tc>
      </w:tr>
      <w:tr w:rsidR="00305D11" w:rsidRPr="00E72307" w14:paraId="7CC894EB" w14:textId="77777777" w:rsidTr="000032F8">
        <w:trPr>
          <w:trHeight w:val="659"/>
        </w:trPr>
        <w:tc>
          <w:tcPr>
            <w:tcW w:w="9738" w:type="dxa"/>
            <w:gridSpan w:val="2"/>
            <w:tcBorders>
              <w:bottom w:val="single" w:sz="4" w:space="0" w:color="000000"/>
            </w:tcBorders>
            <w:shd w:val="clear" w:color="auto" w:fill="auto"/>
            <w:vAlign w:val="center"/>
          </w:tcPr>
          <w:p w14:paraId="55A02C19" w14:textId="77777777" w:rsidR="00305D11" w:rsidRPr="00E72307" w:rsidRDefault="00305D11" w:rsidP="000032F8">
            <w:pPr>
              <w:keepNext/>
              <w:keepLines/>
              <w:tabs>
                <w:tab w:val="left" w:pos="6024"/>
                <w:tab w:val="left" w:pos="7159"/>
              </w:tabs>
              <w:autoSpaceDE w:val="0"/>
              <w:autoSpaceDN w:val="0"/>
              <w:adjustRightInd w:val="0"/>
              <w:spacing w:after="0"/>
              <w:jc w:val="center"/>
              <w:rPr>
                <w:rFonts w:cs="Arial"/>
                <w:b/>
                <w:sz w:val="20"/>
                <w:szCs w:val="20"/>
              </w:rPr>
            </w:pPr>
            <w:r w:rsidRPr="00E72307">
              <w:rPr>
                <w:rFonts w:cs="Arial"/>
                <w:b/>
                <w:i/>
                <w:sz w:val="20"/>
                <w:szCs w:val="20"/>
              </w:rPr>
              <w:t>Strong rural community strategic planning and implementation</w:t>
            </w:r>
          </w:p>
        </w:tc>
      </w:tr>
      <w:tr w:rsidR="00305D11" w:rsidRPr="00E72307" w14:paraId="48FA43F3" w14:textId="77777777" w:rsidTr="0090536B">
        <w:trPr>
          <w:trHeight w:val="443"/>
        </w:trPr>
        <w:tc>
          <w:tcPr>
            <w:tcW w:w="8568" w:type="dxa"/>
            <w:tcBorders>
              <w:top w:val="single" w:sz="4" w:space="0" w:color="000000"/>
              <w:bottom w:val="single" w:sz="4" w:space="0" w:color="auto"/>
            </w:tcBorders>
            <w:shd w:val="clear" w:color="auto" w:fill="auto"/>
            <w:vAlign w:val="center"/>
          </w:tcPr>
          <w:p w14:paraId="3605F368" w14:textId="77777777" w:rsidR="0063129F" w:rsidRPr="00E351D5" w:rsidRDefault="00305D11" w:rsidP="00CE1F1B">
            <w:pPr>
              <w:keepNext/>
              <w:keepLines/>
              <w:tabs>
                <w:tab w:val="left" w:pos="6024"/>
                <w:tab w:val="left" w:pos="7159"/>
              </w:tabs>
              <w:autoSpaceDE w:val="0"/>
              <w:autoSpaceDN w:val="0"/>
              <w:adjustRightInd w:val="0"/>
              <w:rPr>
                <w:rFonts w:cs="Arial"/>
                <w:b/>
                <w:sz w:val="20"/>
                <w:szCs w:val="20"/>
              </w:rPr>
            </w:pPr>
            <w:r w:rsidRPr="00E351D5">
              <w:rPr>
                <w:rFonts w:cs="Arial"/>
                <w:sz w:val="20"/>
                <w:szCs w:val="20"/>
              </w:rPr>
              <w:t>1. Total number</w:t>
            </w:r>
            <w:r w:rsidR="003E2596">
              <w:rPr>
                <w:rFonts w:cs="Arial"/>
                <w:sz w:val="20"/>
                <w:szCs w:val="20"/>
              </w:rPr>
              <w:t xml:space="preserve"> of community</w:t>
            </w:r>
            <w:r w:rsidR="00D011D2">
              <w:rPr>
                <w:rFonts w:cs="Arial"/>
                <w:sz w:val="20"/>
                <w:szCs w:val="20"/>
              </w:rPr>
              <w:t>-</w:t>
            </w:r>
            <w:r w:rsidR="003E2596">
              <w:rPr>
                <w:rFonts w:cs="Arial"/>
                <w:sz w:val="20"/>
                <w:szCs w:val="20"/>
              </w:rPr>
              <w:t>based projects</w:t>
            </w:r>
            <w:r w:rsidR="00716BF1">
              <w:rPr>
                <w:rFonts w:cs="Arial"/>
                <w:sz w:val="20"/>
                <w:szCs w:val="20"/>
              </w:rPr>
              <w:t xml:space="preserve"> (new &amp; on-going)</w:t>
            </w:r>
          </w:p>
        </w:tc>
        <w:tc>
          <w:tcPr>
            <w:tcW w:w="1170" w:type="dxa"/>
            <w:tcBorders>
              <w:top w:val="single" w:sz="4" w:space="0" w:color="000000"/>
              <w:bottom w:val="single" w:sz="4" w:space="0" w:color="auto"/>
            </w:tcBorders>
            <w:shd w:val="clear" w:color="auto" w:fill="auto"/>
            <w:vAlign w:val="center"/>
          </w:tcPr>
          <w:p w14:paraId="1D57B653" w14:textId="515100DD" w:rsidR="00305D11" w:rsidRPr="00E72307" w:rsidRDefault="00232A4A"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13</w:t>
            </w:r>
          </w:p>
        </w:tc>
      </w:tr>
      <w:tr w:rsidR="00D011D2" w:rsidRPr="00E72307" w14:paraId="50470208" w14:textId="77777777" w:rsidTr="0090536B">
        <w:trPr>
          <w:trHeight w:val="443"/>
        </w:trPr>
        <w:tc>
          <w:tcPr>
            <w:tcW w:w="8568" w:type="dxa"/>
            <w:tcBorders>
              <w:top w:val="single" w:sz="4" w:space="0" w:color="000000"/>
              <w:bottom w:val="single" w:sz="4" w:space="0" w:color="auto"/>
            </w:tcBorders>
            <w:shd w:val="clear" w:color="auto" w:fill="auto"/>
            <w:vAlign w:val="center"/>
          </w:tcPr>
          <w:p w14:paraId="440DAB27" w14:textId="620F87A4" w:rsidR="00D011D2" w:rsidRPr="00E351D5" w:rsidRDefault="00D011D2" w:rsidP="00716BF1">
            <w:pPr>
              <w:keepNext/>
              <w:keepLines/>
              <w:tabs>
                <w:tab w:val="left" w:pos="6024"/>
                <w:tab w:val="left" w:pos="7159"/>
              </w:tabs>
              <w:autoSpaceDE w:val="0"/>
              <w:autoSpaceDN w:val="0"/>
              <w:adjustRightInd w:val="0"/>
              <w:rPr>
                <w:rFonts w:cs="Arial"/>
                <w:b/>
                <w:sz w:val="20"/>
                <w:szCs w:val="20"/>
              </w:rPr>
            </w:pPr>
            <w:r>
              <w:rPr>
                <w:rFonts w:cs="Arial"/>
                <w:sz w:val="20"/>
                <w:szCs w:val="20"/>
              </w:rPr>
              <w:t>2</w:t>
            </w:r>
            <w:r w:rsidRPr="00E351D5">
              <w:rPr>
                <w:rFonts w:cs="Arial"/>
                <w:sz w:val="20"/>
                <w:szCs w:val="20"/>
              </w:rPr>
              <w:t xml:space="preserve">. </w:t>
            </w:r>
            <w:r w:rsidR="00716BF1">
              <w:rPr>
                <w:rFonts w:cs="Arial"/>
                <w:sz w:val="20"/>
                <w:szCs w:val="20"/>
              </w:rPr>
              <w:t xml:space="preserve">Total number of local and </w:t>
            </w:r>
            <w:r w:rsidR="007D235E">
              <w:rPr>
                <w:rFonts w:cs="Arial"/>
                <w:sz w:val="20"/>
                <w:szCs w:val="20"/>
              </w:rPr>
              <w:t>regionally based</w:t>
            </w:r>
            <w:r w:rsidR="00716BF1">
              <w:rPr>
                <w:rFonts w:cs="Arial"/>
                <w:sz w:val="20"/>
                <w:szCs w:val="20"/>
              </w:rPr>
              <w:t xml:space="preserve"> community strategic</w:t>
            </w:r>
            <w:r w:rsidR="00CE1F1B">
              <w:rPr>
                <w:rFonts w:cs="Arial"/>
                <w:sz w:val="20"/>
                <w:szCs w:val="20"/>
              </w:rPr>
              <w:t xml:space="preserve"> plans developed and/or updated</w:t>
            </w:r>
          </w:p>
        </w:tc>
        <w:tc>
          <w:tcPr>
            <w:tcW w:w="1170" w:type="dxa"/>
            <w:tcBorders>
              <w:top w:val="single" w:sz="4" w:space="0" w:color="000000"/>
              <w:bottom w:val="single" w:sz="4" w:space="0" w:color="auto"/>
            </w:tcBorders>
            <w:shd w:val="clear" w:color="auto" w:fill="auto"/>
            <w:vAlign w:val="center"/>
          </w:tcPr>
          <w:p w14:paraId="5B6BC3E5" w14:textId="2B9AF594" w:rsidR="00D011D2" w:rsidRPr="00E72307" w:rsidRDefault="00232A4A" w:rsidP="00D011D2">
            <w:pPr>
              <w:keepNext/>
              <w:keepLines/>
              <w:tabs>
                <w:tab w:val="left" w:pos="6024"/>
                <w:tab w:val="left" w:pos="7159"/>
              </w:tabs>
              <w:autoSpaceDE w:val="0"/>
              <w:autoSpaceDN w:val="0"/>
              <w:adjustRightInd w:val="0"/>
              <w:jc w:val="center"/>
              <w:rPr>
                <w:rFonts w:cs="Arial"/>
                <w:b/>
                <w:sz w:val="20"/>
                <w:szCs w:val="20"/>
              </w:rPr>
            </w:pPr>
            <w:r>
              <w:rPr>
                <w:rFonts w:cs="Arial"/>
                <w:b/>
                <w:sz w:val="20"/>
                <w:szCs w:val="20"/>
              </w:rPr>
              <w:t>0</w:t>
            </w:r>
          </w:p>
        </w:tc>
      </w:tr>
      <w:tr w:rsidR="003E2596" w:rsidRPr="00E72307" w14:paraId="6DBE85C1" w14:textId="77777777" w:rsidTr="0090536B">
        <w:trPr>
          <w:trHeight w:val="463"/>
        </w:trPr>
        <w:tc>
          <w:tcPr>
            <w:tcW w:w="8568" w:type="dxa"/>
            <w:tcBorders>
              <w:top w:val="single" w:sz="4" w:space="0" w:color="auto"/>
            </w:tcBorders>
            <w:shd w:val="clear" w:color="auto" w:fill="auto"/>
            <w:vAlign w:val="center"/>
          </w:tcPr>
          <w:p w14:paraId="4F25BE94" w14:textId="77777777" w:rsidR="003E2596" w:rsidRPr="00E351D5" w:rsidRDefault="003E2596" w:rsidP="00D011D2">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business development services</w:t>
            </w:r>
          </w:p>
        </w:tc>
        <w:tc>
          <w:tcPr>
            <w:tcW w:w="1170" w:type="dxa"/>
            <w:tcBorders>
              <w:top w:val="single" w:sz="4" w:space="0" w:color="auto"/>
              <w:bottom w:val="single" w:sz="4" w:space="0" w:color="auto"/>
            </w:tcBorders>
            <w:shd w:val="clear" w:color="auto" w:fill="auto"/>
            <w:vAlign w:val="center"/>
          </w:tcPr>
          <w:p w14:paraId="760D0D27" w14:textId="77777777" w:rsidR="003E2596" w:rsidRPr="00E72307" w:rsidRDefault="003E2596" w:rsidP="00D011D2">
            <w:pPr>
              <w:keepNext/>
              <w:keepLines/>
              <w:tabs>
                <w:tab w:val="left" w:pos="6024"/>
                <w:tab w:val="left" w:pos="7159"/>
              </w:tabs>
              <w:autoSpaceDE w:val="0"/>
              <w:autoSpaceDN w:val="0"/>
              <w:adjustRightInd w:val="0"/>
              <w:jc w:val="center"/>
              <w:rPr>
                <w:rFonts w:cs="Arial"/>
                <w:b/>
                <w:sz w:val="20"/>
                <w:szCs w:val="20"/>
              </w:rPr>
            </w:pPr>
          </w:p>
        </w:tc>
      </w:tr>
      <w:tr w:rsidR="003E2596" w:rsidRPr="00E72307" w14:paraId="22939AE6" w14:textId="77777777" w:rsidTr="0090536B">
        <w:trPr>
          <w:trHeight w:val="463"/>
        </w:trPr>
        <w:tc>
          <w:tcPr>
            <w:tcW w:w="8568" w:type="dxa"/>
            <w:shd w:val="clear" w:color="auto" w:fill="auto"/>
            <w:vAlign w:val="center"/>
          </w:tcPr>
          <w:p w14:paraId="411E2F3B" w14:textId="77777777" w:rsidR="003E2596" w:rsidRPr="00FE5858" w:rsidRDefault="00FE5858" w:rsidP="00FE5858">
            <w:pPr>
              <w:keepNext/>
              <w:keepLines/>
              <w:tabs>
                <w:tab w:val="left" w:pos="6024"/>
                <w:tab w:val="left" w:pos="7159"/>
              </w:tabs>
              <w:autoSpaceDE w:val="0"/>
              <w:autoSpaceDN w:val="0"/>
              <w:adjustRightInd w:val="0"/>
              <w:rPr>
                <w:rFonts w:cs="Arial"/>
                <w:i/>
                <w:sz w:val="20"/>
                <w:szCs w:val="20"/>
              </w:rPr>
            </w:pPr>
            <w:r>
              <w:rPr>
                <w:rFonts w:cs="Arial"/>
                <w:sz w:val="20"/>
                <w:szCs w:val="20"/>
              </w:rPr>
              <w:t>3</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training session participants </w:t>
            </w:r>
          </w:p>
        </w:tc>
        <w:tc>
          <w:tcPr>
            <w:tcW w:w="1170" w:type="dxa"/>
            <w:tcBorders>
              <w:top w:val="single" w:sz="4" w:space="0" w:color="auto"/>
              <w:bottom w:val="single" w:sz="4" w:space="0" w:color="auto"/>
            </w:tcBorders>
            <w:shd w:val="clear" w:color="auto" w:fill="auto"/>
            <w:vAlign w:val="center"/>
          </w:tcPr>
          <w:p w14:paraId="3E06B67C" w14:textId="544A6D68" w:rsidR="003E2596" w:rsidRPr="00E72307" w:rsidRDefault="00232A4A"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108</w:t>
            </w:r>
          </w:p>
        </w:tc>
      </w:tr>
      <w:tr w:rsidR="003E2596" w:rsidRPr="00E72307" w14:paraId="74F7E9F3" w14:textId="77777777" w:rsidTr="0090536B">
        <w:trPr>
          <w:trHeight w:val="463"/>
        </w:trPr>
        <w:tc>
          <w:tcPr>
            <w:tcW w:w="8568" w:type="dxa"/>
            <w:shd w:val="clear" w:color="auto" w:fill="auto"/>
            <w:vAlign w:val="center"/>
          </w:tcPr>
          <w:p w14:paraId="13AA39F5" w14:textId="77777777" w:rsidR="003E2596" w:rsidRPr="00FE5858" w:rsidRDefault="00FE5858" w:rsidP="00FE5858">
            <w:pPr>
              <w:keepNext/>
              <w:keepLines/>
              <w:tabs>
                <w:tab w:val="left" w:pos="6024"/>
                <w:tab w:val="left" w:pos="7159"/>
              </w:tabs>
              <w:autoSpaceDE w:val="0"/>
              <w:autoSpaceDN w:val="0"/>
              <w:adjustRightInd w:val="0"/>
              <w:rPr>
                <w:rFonts w:cs="Arial"/>
                <w:i/>
                <w:sz w:val="20"/>
                <w:szCs w:val="20"/>
              </w:rPr>
            </w:pPr>
            <w:r>
              <w:rPr>
                <w:rFonts w:cs="Arial"/>
                <w:sz w:val="20"/>
                <w:szCs w:val="20"/>
              </w:rPr>
              <w:t>4</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advisory services </w:t>
            </w:r>
          </w:p>
        </w:tc>
        <w:tc>
          <w:tcPr>
            <w:tcW w:w="1170" w:type="dxa"/>
            <w:tcBorders>
              <w:top w:val="single" w:sz="4" w:space="0" w:color="auto"/>
              <w:bottom w:val="single" w:sz="4" w:space="0" w:color="auto"/>
            </w:tcBorders>
            <w:shd w:val="clear" w:color="auto" w:fill="auto"/>
            <w:vAlign w:val="center"/>
          </w:tcPr>
          <w:p w14:paraId="047E1BAA" w14:textId="6ABA0E52" w:rsidR="003E2596" w:rsidRPr="00E72307" w:rsidRDefault="00232A4A"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671</w:t>
            </w:r>
          </w:p>
        </w:tc>
      </w:tr>
      <w:tr w:rsidR="003E2596" w:rsidRPr="00E72307" w14:paraId="6CD15709" w14:textId="77777777" w:rsidTr="0090536B">
        <w:trPr>
          <w:trHeight w:val="463"/>
        </w:trPr>
        <w:tc>
          <w:tcPr>
            <w:tcW w:w="8568" w:type="dxa"/>
            <w:shd w:val="clear" w:color="auto" w:fill="auto"/>
            <w:vAlign w:val="center"/>
          </w:tcPr>
          <w:p w14:paraId="65D6FB06" w14:textId="77777777" w:rsidR="003E2596" w:rsidRPr="00E351D5" w:rsidRDefault="003E2596" w:rsidP="0056519D">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capital and leveraged capital</w:t>
            </w:r>
          </w:p>
        </w:tc>
        <w:tc>
          <w:tcPr>
            <w:tcW w:w="1170" w:type="dxa"/>
            <w:tcBorders>
              <w:top w:val="single" w:sz="4" w:space="0" w:color="auto"/>
              <w:bottom w:val="single" w:sz="4" w:space="0" w:color="000000"/>
            </w:tcBorders>
            <w:shd w:val="clear" w:color="auto" w:fill="auto"/>
            <w:vAlign w:val="center"/>
          </w:tcPr>
          <w:p w14:paraId="0368F6D1" w14:textId="77777777" w:rsidR="003E2596" w:rsidRPr="00E72307" w:rsidRDefault="003E2596" w:rsidP="000032F8">
            <w:pPr>
              <w:keepNext/>
              <w:keepLines/>
              <w:tabs>
                <w:tab w:val="left" w:pos="6024"/>
                <w:tab w:val="left" w:pos="7159"/>
              </w:tabs>
              <w:autoSpaceDE w:val="0"/>
              <w:autoSpaceDN w:val="0"/>
              <w:adjustRightInd w:val="0"/>
              <w:jc w:val="center"/>
              <w:rPr>
                <w:rFonts w:cs="Arial"/>
                <w:b/>
                <w:sz w:val="20"/>
                <w:szCs w:val="20"/>
              </w:rPr>
            </w:pPr>
          </w:p>
        </w:tc>
      </w:tr>
      <w:tr w:rsidR="00BE6567" w:rsidRPr="00E72307" w14:paraId="2DA4D307" w14:textId="77777777" w:rsidTr="0090536B">
        <w:trPr>
          <w:trHeight w:val="355"/>
        </w:trPr>
        <w:tc>
          <w:tcPr>
            <w:tcW w:w="8568" w:type="dxa"/>
            <w:shd w:val="clear" w:color="auto" w:fill="auto"/>
            <w:vAlign w:val="center"/>
          </w:tcPr>
          <w:p w14:paraId="3604ED6E" w14:textId="77777777" w:rsidR="00BE6567" w:rsidRDefault="00FE5858" w:rsidP="00FE5858">
            <w:pPr>
              <w:keepNext/>
              <w:keepLines/>
              <w:tabs>
                <w:tab w:val="left" w:pos="6024"/>
                <w:tab w:val="left" w:pos="7159"/>
              </w:tabs>
              <w:autoSpaceDE w:val="0"/>
              <w:autoSpaceDN w:val="0"/>
              <w:adjustRightInd w:val="0"/>
              <w:rPr>
                <w:rFonts w:cs="Arial"/>
                <w:sz w:val="20"/>
                <w:szCs w:val="20"/>
              </w:rPr>
            </w:pPr>
            <w:r>
              <w:rPr>
                <w:rFonts w:cs="Arial"/>
                <w:sz w:val="20"/>
                <w:szCs w:val="20"/>
              </w:rPr>
              <w:t>5</w:t>
            </w:r>
            <w:r w:rsidR="00BE6567">
              <w:rPr>
                <w:rFonts w:cs="Arial"/>
                <w:sz w:val="20"/>
                <w:szCs w:val="20"/>
              </w:rPr>
              <w:t>.  Dollar value of loans</w:t>
            </w:r>
          </w:p>
        </w:tc>
        <w:tc>
          <w:tcPr>
            <w:tcW w:w="1170" w:type="dxa"/>
            <w:shd w:val="clear" w:color="auto" w:fill="auto"/>
            <w:vAlign w:val="center"/>
          </w:tcPr>
          <w:p w14:paraId="761563DC" w14:textId="6922F806" w:rsidR="00BE6567" w:rsidRPr="00E72307" w:rsidRDefault="00232A4A"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$2,060,000</w:t>
            </w:r>
          </w:p>
        </w:tc>
      </w:tr>
      <w:tr w:rsidR="004E0068" w:rsidRPr="00E72307" w14:paraId="57CD6B30" w14:textId="77777777" w:rsidTr="0090536B">
        <w:trPr>
          <w:trHeight w:val="355"/>
        </w:trPr>
        <w:tc>
          <w:tcPr>
            <w:tcW w:w="8568" w:type="dxa"/>
            <w:shd w:val="clear" w:color="auto" w:fill="auto"/>
            <w:vAlign w:val="center"/>
          </w:tcPr>
          <w:p w14:paraId="274080CC" w14:textId="77777777" w:rsidR="004E0068" w:rsidRDefault="00FE5858" w:rsidP="00FE5858">
            <w:pPr>
              <w:keepNext/>
              <w:keepLines/>
              <w:tabs>
                <w:tab w:val="left" w:pos="6024"/>
                <w:tab w:val="left" w:pos="7159"/>
              </w:tabs>
              <w:autoSpaceDE w:val="0"/>
              <w:autoSpaceDN w:val="0"/>
              <w:adjustRightInd w:val="0"/>
              <w:rPr>
                <w:rFonts w:cs="Arial"/>
                <w:sz w:val="20"/>
                <w:szCs w:val="20"/>
              </w:rPr>
            </w:pPr>
            <w:r>
              <w:rPr>
                <w:rFonts w:cs="Arial"/>
                <w:sz w:val="20"/>
                <w:szCs w:val="20"/>
              </w:rPr>
              <w:t>6</w:t>
            </w:r>
            <w:r w:rsidR="004E0068">
              <w:rPr>
                <w:rFonts w:cs="Arial"/>
                <w:sz w:val="20"/>
                <w:szCs w:val="20"/>
              </w:rPr>
              <w:t xml:space="preserve">. </w:t>
            </w:r>
            <w:r w:rsidR="00CE1F1B">
              <w:rPr>
                <w:rFonts w:cs="Arial"/>
                <w:sz w:val="20"/>
                <w:szCs w:val="20"/>
              </w:rPr>
              <w:t>Total n</w:t>
            </w:r>
            <w:r w:rsidR="004E0068">
              <w:rPr>
                <w:rFonts w:cs="Arial"/>
                <w:sz w:val="20"/>
                <w:szCs w:val="20"/>
              </w:rPr>
              <w:t>umber</w:t>
            </w:r>
            <w:r w:rsidR="004E0068" w:rsidRPr="00E72307">
              <w:rPr>
                <w:rFonts w:cs="Arial"/>
                <w:sz w:val="20"/>
                <w:szCs w:val="20"/>
              </w:rPr>
              <w:t xml:space="preserve"> of loans  </w:t>
            </w:r>
          </w:p>
        </w:tc>
        <w:tc>
          <w:tcPr>
            <w:tcW w:w="1170" w:type="dxa"/>
            <w:shd w:val="clear" w:color="auto" w:fill="auto"/>
            <w:vAlign w:val="center"/>
          </w:tcPr>
          <w:p w14:paraId="7099CFFF" w14:textId="6146B066" w:rsidR="004E0068" w:rsidRPr="00E72307" w:rsidRDefault="00232A4A"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26</w:t>
            </w:r>
          </w:p>
        </w:tc>
      </w:tr>
      <w:tr w:rsidR="003E2596" w:rsidRPr="00E72307" w14:paraId="01B95258" w14:textId="77777777" w:rsidTr="0090536B">
        <w:trPr>
          <w:trHeight w:val="355"/>
        </w:trPr>
        <w:tc>
          <w:tcPr>
            <w:tcW w:w="8568" w:type="dxa"/>
            <w:shd w:val="clear" w:color="auto" w:fill="auto"/>
            <w:vAlign w:val="center"/>
          </w:tcPr>
          <w:p w14:paraId="7E95EC85" w14:textId="77777777" w:rsidR="003E2596" w:rsidRDefault="00FE5858" w:rsidP="00FE5858">
            <w:pPr>
              <w:keepNext/>
              <w:keepLines/>
              <w:tabs>
                <w:tab w:val="left" w:pos="6024"/>
                <w:tab w:val="left" w:pos="7159"/>
              </w:tabs>
              <w:autoSpaceDE w:val="0"/>
              <w:autoSpaceDN w:val="0"/>
              <w:adjustRightInd w:val="0"/>
              <w:jc w:val="both"/>
              <w:rPr>
                <w:rFonts w:cs="Arial"/>
                <w:sz w:val="20"/>
                <w:szCs w:val="20"/>
              </w:rPr>
            </w:pPr>
            <w:r>
              <w:rPr>
                <w:rFonts w:cs="Arial"/>
                <w:sz w:val="20"/>
                <w:szCs w:val="20"/>
              </w:rPr>
              <w:t>7</w:t>
            </w:r>
            <w:r w:rsidR="004E0068">
              <w:rPr>
                <w:rFonts w:cs="Arial"/>
                <w:sz w:val="20"/>
                <w:szCs w:val="20"/>
              </w:rPr>
              <w:t>. Number</w:t>
            </w:r>
            <w:r w:rsidR="004E0068" w:rsidRPr="00E72307">
              <w:rPr>
                <w:rFonts w:cs="Arial"/>
                <w:sz w:val="20"/>
                <w:szCs w:val="20"/>
              </w:rPr>
              <w:t xml:space="preserve"> of </w:t>
            </w:r>
            <w:r w:rsidR="004E0068">
              <w:rPr>
                <w:rFonts w:cs="Arial"/>
                <w:sz w:val="20"/>
                <w:szCs w:val="20"/>
              </w:rPr>
              <w:t>jobs created/maintained/expanded</w:t>
            </w:r>
            <w:r w:rsidR="00716BF1">
              <w:rPr>
                <w:rFonts w:cs="Arial"/>
                <w:sz w:val="20"/>
                <w:szCs w:val="20"/>
              </w:rPr>
              <w:t xml:space="preserve"> </w:t>
            </w:r>
            <w:r w:rsidR="004E0068">
              <w:rPr>
                <w:rFonts w:cs="Arial"/>
                <w:sz w:val="20"/>
                <w:szCs w:val="20"/>
              </w:rPr>
              <w:t>through lending</w:t>
            </w:r>
            <w:r w:rsidR="004E0068">
              <w:rPr>
                <w:rStyle w:val="FootnoteReference"/>
                <w:rFonts w:cs="Arial"/>
                <w:sz w:val="20"/>
                <w:szCs w:val="20"/>
              </w:rPr>
              <w:footnoteReference w:id="1"/>
            </w:r>
          </w:p>
        </w:tc>
        <w:tc>
          <w:tcPr>
            <w:tcW w:w="1170" w:type="dxa"/>
            <w:shd w:val="clear" w:color="auto" w:fill="auto"/>
            <w:vAlign w:val="center"/>
          </w:tcPr>
          <w:p w14:paraId="589FB395" w14:textId="02BE230A" w:rsidR="003E2596" w:rsidRPr="00E72307" w:rsidRDefault="00232A4A"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34</w:t>
            </w:r>
          </w:p>
        </w:tc>
      </w:tr>
      <w:tr w:rsidR="003E2596" w:rsidRPr="00E72307" w14:paraId="253460BD" w14:textId="77777777" w:rsidTr="000032F8">
        <w:trPr>
          <w:trHeight w:val="562"/>
        </w:trPr>
        <w:tc>
          <w:tcPr>
            <w:tcW w:w="9738" w:type="dxa"/>
            <w:gridSpan w:val="2"/>
            <w:shd w:val="clear" w:color="auto" w:fill="auto"/>
            <w:vAlign w:val="center"/>
          </w:tcPr>
          <w:p w14:paraId="3D98AD12" w14:textId="77777777" w:rsidR="003E2596" w:rsidRPr="00E72307" w:rsidRDefault="003E2596" w:rsidP="000032F8">
            <w:pPr>
              <w:keepNext/>
              <w:keepLines/>
              <w:tabs>
                <w:tab w:val="left" w:pos="6024"/>
                <w:tab w:val="left" w:pos="7159"/>
              </w:tabs>
              <w:autoSpaceDE w:val="0"/>
              <w:autoSpaceDN w:val="0"/>
              <w:adjustRightInd w:val="0"/>
              <w:rPr>
                <w:rFonts w:cs="Arial"/>
                <w:b/>
                <w:sz w:val="20"/>
                <w:szCs w:val="20"/>
              </w:rPr>
            </w:pPr>
          </w:p>
        </w:tc>
      </w:tr>
    </w:tbl>
    <w:tbl>
      <w:tblPr>
        <w:tblStyle w:val="TableGrid"/>
        <w:tblW w:w="9738" w:type="dxa"/>
        <w:tblLook w:val="04A0" w:firstRow="1" w:lastRow="0" w:firstColumn="1" w:lastColumn="0" w:noHBand="0" w:noVBand="1"/>
      </w:tblPr>
      <w:tblGrid>
        <w:gridCol w:w="9738"/>
      </w:tblGrid>
      <w:tr w:rsidR="00F609C9" w14:paraId="1194961D" w14:textId="77777777" w:rsidTr="007D235E">
        <w:trPr>
          <w:trHeight w:val="316"/>
        </w:trPr>
        <w:tc>
          <w:tcPr>
            <w:tcW w:w="9738" w:type="dxa"/>
          </w:tcPr>
          <w:p w14:paraId="656FEAEE" w14:textId="54A5E869" w:rsidR="000032F8" w:rsidRPr="007D235E" w:rsidRDefault="00B86B60" w:rsidP="000032F8">
            <w:pPr>
              <w:rPr>
                <w:rFonts w:cs="Arial"/>
                <w:sz w:val="18"/>
                <w:szCs w:val="18"/>
              </w:rPr>
            </w:pPr>
            <w:r w:rsidRPr="007D235E">
              <w:rPr>
                <w:rFonts w:cs="Arial"/>
                <w:sz w:val="18"/>
                <w:szCs w:val="18"/>
              </w:rPr>
              <w:t>Provide a</w:t>
            </w:r>
            <w:r w:rsidR="008B0CCB" w:rsidRPr="007D235E">
              <w:rPr>
                <w:rFonts w:cs="Arial"/>
                <w:sz w:val="18"/>
                <w:szCs w:val="18"/>
              </w:rPr>
              <w:t>dditional Information</w:t>
            </w:r>
            <w:r w:rsidRPr="007D235E">
              <w:rPr>
                <w:rFonts w:cs="Arial"/>
                <w:sz w:val="18"/>
                <w:szCs w:val="18"/>
              </w:rPr>
              <w:t xml:space="preserve"> (e.g. Success stories, </w:t>
            </w:r>
            <w:r w:rsidR="00E514E4" w:rsidRPr="007D235E">
              <w:rPr>
                <w:rFonts w:cs="Arial"/>
                <w:sz w:val="18"/>
                <w:szCs w:val="18"/>
              </w:rPr>
              <w:t xml:space="preserve">Links to priorities, </w:t>
            </w:r>
            <w:r w:rsidRPr="007D235E">
              <w:rPr>
                <w:rFonts w:cs="Arial"/>
                <w:sz w:val="18"/>
                <w:szCs w:val="18"/>
              </w:rPr>
              <w:t xml:space="preserve">leveraging work, communication events, </w:t>
            </w:r>
            <w:proofErr w:type="spellStart"/>
            <w:r w:rsidRPr="007D235E">
              <w:rPr>
                <w:rFonts w:cs="Arial"/>
                <w:sz w:val="18"/>
                <w:szCs w:val="18"/>
              </w:rPr>
              <w:t>etc</w:t>
            </w:r>
            <w:proofErr w:type="spellEnd"/>
            <w:r w:rsidRPr="007D235E">
              <w:rPr>
                <w:rFonts w:cs="Arial"/>
                <w:sz w:val="18"/>
                <w:szCs w:val="18"/>
              </w:rPr>
              <w:t>…)</w:t>
            </w:r>
            <w:r w:rsidR="000032F8" w:rsidRPr="007D235E">
              <w:rPr>
                <w:rFonts w:cs="Arial"/>
                <w:sz w:val="18"/>
                <w:szCs w:val="18"/>
              </w:rPr>
              <w:t xml:space="preserve"> </w:t>
            </w:r>
          </w:p>
        </w:tc>
      </w:tr>
      <w:tr w:rsidR="00F609C9" w14:paraId="79FC7B7E" w14:textId="77777777" w:rsidTr="007D235E">
        <w:trPr>
          <w:trHeight w:val="4234"/>
        </w:trPr>
        <w:tc>
          <w:tcPr>
            <w:tcW w:w="9738" w:type="dxa"/>
          </w:tcPr>
          <w:p w14:paraId="0C4F8E5C" w14:textId="175FEF67" w:rsidR="00F609C9" w:rsidRPr="007D235E" w:rsidRDefault="00DA2628" w:rsidP="007D235E">
            <w:pPr>
              <w:spacing w:before="120"/>
              <w:rPr>
                <w:rFonts w:cs="Arial"/>
                <w:sz w:val="18"/>
                <w:szCs w:val="18"/>
              </w:rPr>
            </w:pPr>
            <w:r w:rsidRPr="007D235E">
              <w:rPr>
                <w:rFonts w:cs="Arial"/>
                <w:sz w:val="18"/>
                <w:szCs w:val="18"/>
              </w:rPr>
              <w:t>Capital Growth Initiative Program for Women’s Entrepreneurship – funding from Province of Alberta</w:t>
            </w:r>
          </w:p>
          <w:p w14:paraId="49E89BFA" w14:textId="6539A60C" w:rsidR="00DA2628" w:rsidRPr="007D235E" w:rsidRDefault="00DA2628" w:rsidP="00DA2628">
            <w:pPr>
              <w:pStyle w:val="ListParagraph"/>
              <w:numPr>
                <w:ilvl w:val="0"/>
                <w:numId w:val="15"/>
              </w:numPr>
              <w:rPr>
                <w:rFonts w:cs="Arial"/>
                <w:sz w:val="18"/>
                <w:szCs w:val="18"/>
              </w:rPr>
            </w:pPr>
            <w:r w:rsidRPr="007D235E">
              <w:rPr>
                <w:rFonts w:cs="Arial"/>
                <w:sz w:val="18"/>
                <w:szCs w:val="18"/>
              </w:rPr>
              <w:t xml:space="preserve">(4) Loans </w:t>
            </w:r>
            <w:r w:rsidR="004A4B5D" w:rsidRPr="007D235E">
              <w:rPr>
                <w:rFonts w:cs="Arial"/>
                <w:sz w:val="18"/>
                <w:szCs w:val="18"/>
              </w:rPr>
              <w:t>funded for a total of $133,333.33 to assist with 4 Women owned Businesses</w:t>
            </w:r>
          </w:p>
          <w:p w14:paraId="051D5DAE" w14:textId="095C03F0" w:rsidR="004A4B5D" w:rsidRPr="007D235E" w:rsidRDefault="004A4B5D" w:rsidP="00DA2628">
            <w:pPr>
              <w:pStyle w:val="ListParagraph"/>
              <w:numPr>
                <w:ilvl w:val="0"/>
                <w:numId w:val="15"/>
              </w:numPr>
              <w:rPr>
                <w:rFonts w:cs="Arial"/>
                <w:sz w:val="18"/>
                <w:szCs w:val="18"/>
              </w:rPr>
            </w:pPr>
            <w:r w:rsidRPr="007D235E">
              <w:rPr>
                <w:rFonts w:cs="Arial"/>
                <w:sz w:val="18"/>
                <w:szCs w:val="18"/>
              </w:rPr>
              <w:t xml:space="preserve">(1) Loan successfully repaid and granted 25% </w:t>
            </w:r>
            <w:r w:rsidR="0035345B" w:rsidRPr="007D235E">
              <w:rPr>
                <w:rFonts w:cs="Arial"/>
                <w:sz w:val="18"/>
                <w:szCs w:val="18"/>
              </w:rPr>
              <w:t>forgivable</w:t>
            </w:r>
            <w:r w:rsidRPr="007D235E">
              <w:rPr>
                <w:rFonts w:cs="Arial"/>
                <w:sz w:val="18"/>
                <w:szCs w:val="18"/>
              </w:rPr>
              <w:t xml:space="preserve"> portion </w:t>
            </w:r>
          </w:p>
          <w:p w14:paraId="36F44E5B" w14:textId="3C075416" w:rsidR="0035345B" w:rsidRPr="007D235E" w:rsidRDefault="0035345B" w:rsidP="00DA2628">
            <w:pPr>
              <w:pStyle w:val="ListParagraph"/>
              <w:numPr>
                <w:ilvl w:val="0"/>
                <w:numId w:val="15"/>
              </w:numPr>
              <w:rPr>
                <w:rFonts w:cs="Arial"/>
                <w:sz w:val="18"/>
                <w:szCs w:val="18"/>
              </w:rPr>
            </w:pPr>
            <w:r w:rsidRPr="007D235E">
              <w:rPr>
                <w:rFonts w:cs="Arial"/>
                <w:sz w:val="18"/>
                <w:szCs w:val="18"/>
              </w:rPr>
              <w:t>11 Employment positions Recorded.</w:t>
            </w:r>
          </w:p>
          <w:p w14:paraId="4942EEAF" w14:textId="4876F4BC" w:rsidR="004A4B5D" w:rsidRPr="007D235E" w:rsidRDefault="004A4B5D" w:rsidP="00DA2628">
            <w:pPr>
              <w:pStyle w:val="ListParagraph"/>
              <w:numPr>
                <w:ilvl w:val="0"/>
                <w:numId w:val="15"/>
              </w:numPr>
              <w:rPr>
                <w:rFonts w:cs="Arial"/>
                <w:sz w:val="18"/>
                <w:szCs w:val="18"/>
              </w:rPr>
            </w:pPr>
            <w:r w:rsidRPr="007D235E">
              <w:rPr>
                <w:rFonts w:cs="Arial"/>
                <w:sz w:val="18"/>
                <w:szCs w:val="18"/>
              </w:rPr>
              <w:t xml:space="preserve">Community Futures Office authorized to </w:t>
            </w:r>
            <w:r w:rsidR="007B4D01">
              <w:rPr>
                <w:rFonts w:cs="Arial"/>
                <w:sz w:val="18"/>
                <w:szCs w:val="18"/>
              </w:rPr>
              <w:t>M</w:t>
            </w:r>
            <w:r w:rsidRPr="007D235E">
              <w:rPr>
                <w:rFonts w:cs="Arial"/>
                <w:sz w:val="18"/>
                <w:szCs w:val="18"/>
              </w:rPr>
              <w:t>anage these advances and reloan funds as they become available.</w:t>
            </w:r>
          </w:p>
          <w:p w14:paraId="1FD88F21" w14:textId="77777777" w:rsidR="004A4B5D" w:rsidRPr="007D235E" w:rsidRDefault="004A4B5D" w:rsidP="004A4B5D">
            <w:pPr>
              <w:rPr>
                <w:rFonts w:cs="Arial"/>
                <w:sz w:val="18"/>
                <w:szCs w:val="18"/>
              </w:rPr>
            </w:pPr>
          </w:p>
          <w:p w14:paraId="3318E13B" w14:textId="15B11965" w:rsidR="004A4B5D" w:rsidRPr="007D235E" w:rsidRDefault="004A4B5D" w:rsidP="004A4B5D">
            <w:pPr>
              <w:rPr>
                <w:rFonts w:cs="Arial"/>
                <w:sz w:val="18"/>
                <w:szCs w:val="18"/>
              </w:rPr>
            </w:pPr>
            <w:r w:rsidRPr="007D235E">
              <w:rPr>
                <w:rFonts w:cs="Arial"/>
                <w:sz w:val="18"/>
                <w:szCs w:val="18"/>
              </w:rPr>
              <w:t>Repayment of the Regional Relief Recovery Loans prior to March 28, 2024</w:t>
            </w:r>
          </w:p>
          <w:p w14:paraId="0328314C" w14:textId="18C1B6AD" w:rsidR="004A4B5D" w:rsidRPr="007D235E" w:rsidRDefault="004A4B5D" w:rsidP="004A4B5D">
            <w:pPr>
              <w:pStyle w:val="ListParagraph"/>
              <w:numPr>
                <w:ilvl w:val="0"/>
                <w:numId w:val="15"/>
              </w:numPr>
              <w:rPr>
                <w:rFonts w:cs="Arial"/>
                <w:sz w:val="18"/>
                <w:szCs w:val="18"/>
              </w:rPr>
            </w:pPr>
            <w:r w:rsidRPr="007D235E">
              <w:rPr>
                <w:rFonts w:cs="Arial"/>
                <w:sz w:val="18"/>
                <w:szCs w:val="18"/>
              </w:rPr>
              <w:t>$5,640,000 Loan</w:t>
            </w:r>
            <w:r w:rsidR="007B4D01">
              <w:rPr>
                <w:rFonts w:cs="Arial"/>
                <w:sz w:val="18"/>
                <w:szCs w:val="18"/>
              </w:rPr>
              <w:t xml:space="preserve"> Fund</w:t>
            </w:r>
            <w:r w:rsidRPr="007D235E">
              <w:rPr>
                <w:rFonts w:cs="Arial"/>
                <w:sz w:val="18"/>
                <w:szCs w:val="18"/>
              </w:rPr>
              <w:t>s Advanced</w:t>
            </w:r>
            <w:r w:rsidR="007B4D01">
              <w:rPr>
                <w:rFonts w:cs="Arial"/>
                <w:sz w:val="18"/>
                <w:szCs w:val="18"/>
              </w:rPr>
              <w:t xml:space="preserve"> -</w:t>
            </w:r>
            <w:r w:rsidRPr="007D235E">
              <w:rPr>
                <w:rFonts w:cs="Arial"/>
                <w:sz w:val="18"/>
                <w:szCs w:val="18"/>
              </w:rPr>
              <w:t xml:space="preserve"> $3,704,077 Repaid</w:t>
            </w:r>
            <w:proofErr w:type="gramStart"/>
            <w:r w:rsidRPr="007D235E">
              <w:rPr>
                <w:rFonts w:cs="Arial"/>
                <w:sz w:val="18"/>
                <w:szCs w:val="18"/>
              </w:rPr>
              <w:t xml:space="preserve"> </w:t>
            </w:r>
            <w:r w:rsidR="0035345B" w:rsidRPr="007D235E">
              <w:rPr>
                <w:rFonts w:cs="Arial"/>
                <w:sz w:val="18"/>
                <w:szCs w:val="18"/>
              </w:rPr>
              <w:t xml:space="preserve">  </w:t>
            </w:r>
            <w:r w:rsidR="007B4D01">
              <w:rPr>
                <w:rFonts w:cs="Arial"/>
                <w:sz w:val="18"/>
                <w:szCs w:val="18"/>
              </w:rPr>
              <w:t>(</w:t>
            </w:r>
            <w:proofErr w:type="gramEnd"/>
            <w:r w:rsidR="0035345B" w:rsidRPr="007D235E">
              <w:rPr>
                <w:rFonts w:cs="Arial"/>
                <w:sz w:val="18"/>
                <w:szCs w:val="18"/>
              </w:rPr>
              <w:t>66%</w:t>
            </w:r>
            <w:r w:rsidR="007B4D01">
              <w:rPr>
                <w:rFonts w:cs="Arial"/>
                <w:sz w:val="18"/>
                <w:szCs w:val="18"/>
              </w:rPr>
              <w:t xml:space="preserve"> approximately)</w:t>
            </w:r>
          </w:p>
          <w:p w14:paraId="76C6401B" w14:textId="5CC4519C" w:rsidR="004A4B5D" w:rsidRPr="007D235E" w:rsidRDefault="00A409F2" w:rsidP="004A4B5D">
            <w:pPr>
              <w:pStyle w:val="ListParagraph"/>
              <w:numPr>
                <w:ilvl w:val="0"/>
                <w:numId w:val="15"/>
              </w:numPr>
              <w:rPr>
                <w:rFonts w:cs="Arial"/>
                <w:sz w:val="18"/>
                <w:szCs w:val="18"/>
              </w:rPr>
            </w:pPr>
            <w:r w:rsidRPr="007D235E">
              <w:rPr>
                <w:rFonts w:cs="Arial"/>
                <w:sz w:val="18"/>
                <w:szCs w:val="18"/>
              </w:rPr>
              <w:t xml:space="preserve">Less Known Bankruptcies/Deceased Clients </w:t>
            </w:r>
            <w:r w:rsidR="000F3807" w:rsidRPr="007D235E">
              <w:rPr>
                <w:rFonts w:cs="Arial"/>
                <w:sz w:val="18"/>
                <w:szCs w:val="18"/>
              </w:rPr>
              <w:t>(</w:t>
            </w:r>
            <w:r w:rsidRPr="007D235E">
              <w:rPr>
                <w:rFonts w:cs="Arial"/>
                <w:sz w:val="18"/>
                <w:szCs w:val="18"/>
              </w:rPr>
              <w:t>$</w:t>
            </w:r>
            <w:r w:rsidR="000F3807" w:rsidRPr="007D235E">
              <w:rPr>
                <w:rFonts w:cs="Arial"/>
                <w:sz w:val="18"/>
                <w:szCs w:val="18"/>
              </w:rPr>
              <w:t xml:space="preserve">411,750) $1,524,173 </w:t>
            </w:r>
            <w:r w:rsidR="0035345B" w:rsidRPr="007D235E">
              <w:rPr>
                <w:rFonts w:cs="Arial"/>
                <w:sz w:val="18"/>
                <w:szCs w:val="18"/>
              </w:rPr>
              <w:t>Outstanding</w:t>
            </w:r>
          </w:p>
          <w:p w14:paraId="0C40A4FD" w14:textId="1D6D558F" w:rsidR="0035345B" w:rsidRPr="007D235E" w:rsidRDefault="0035345B" w:rsidP="004A4B5D">
            <w:pPr>
              <w:pStyle w:val="ListParagraph"/>
              <w:numPr>
                <w:ilvl w:val="0"/>
                <w:numId w:val="15"/>
              </w:numPr>
              <w:rPr>
                <w:rFonts w:cs="Arial"/>
                <w:sz w:val="18"/>
                <w:szCs w:val="18"/>
              </w:rPr>
            </w:pPr>
            <w:r w:rsidRPr="007D235E">
              <w:rPr>
                <w:rFonts w:cs="Arial"/>
                <w:sz w:val="18"/>
                <w:szCs w:val="18"/>
              </w:rPr>
              <w:t xml:space="preserve">Continue efforts to build Relationships and promote </w:t>
            </w:r>
            <w:r w:rsidR="007D235E" w:rsidRPr="007D235E">
              <w:rPr>
                <w:rFonts w:cs="Arial"/>
                <w:sz w:val="18"/>
                <w:szCs w:val="18"/>
              </w:rPr>
              <w:t>repayment.</w:t>
            </w:r>
            <w:r w:rsidRPr="007D235E">
              <w:rPr>
                <w:rFonts w:cs="Arial"/>
                <w:sz w:val="18"/>
                <w:szCs w:val="18"/>
              </w:rPr>
              <w:t xml:space="preserve"> </w:t>
            </w:r>
          </w:p>
          <w:p w14:paraId="2E700766" w14:textId="77777777" w:rsidR="0035345B" w:rsidRPr="007D235E" w:rsidRDefault="0035345B" w:rsidP="0035345B">
            <w:pPr>
              <w:rPr>
                <w:rFonts w:cs="Arial"/>
                <w:sz w:val="18"/>
                <w:szCs w:val="18"/>
              </w:rPr>
            </w:pPr>
          </w:p>
          <w:p w14:paraId="7B9DAAC9" w14:textId="25E0ABC4" w:rsidR="0035345B" w:rsidRPr="007D235E" w:rsidRDefault="0035345B" w:rsidP="0035345B">
            <w:pPr>
              <w:rPr>
                <w:rFonts w:cs="Arial"/>
                <w:sz w:val="18"/>
                <w:szCs w:val="18"/>
              </w:rPr>
            </w:pPr>
            <w:r w:rsidRPr="007D235E">
              <w:rPr>
                <w:rFonts w:cs="Arial"/>
                <w:sz w:val="18"/>
                <w:szCs w:val="18"/>
              </w:rPr>
              <w:t>Increased Presence in Communities</w:t>
            </w:r>
          </w:p>
          <w:p w14:paraId="6A366111" w14:textId="64093210" w:rsidR="0035345B" w:rsidRPr="007D235E" w:rsidRDefault="0035345B" w:rsidP="0035345B">
            <w:pPr>
              <w:rPr>
                <w:rFonts w:cs="Arial"/>
                <w:sz w:val="18"/>
                <w:szCs w:val="18"/>
              </w:rPr>
            </w:pPr>
            <w:r w:rsidRPr="007D235E">
              <w:rPr>
                <w:rFonts w:cs="Arial"/>
                <w:sz w:val="18"/>
                <w:szCs w:val="18"/>
              </w:rPr>
              <w:t>Youth Programs</w:t>
            </w:r>
          </w:p>
          <w:p w14:paraId="5ABDE8B4" w14:textId="327DCCC9" w:rsidR="0035345B" w:rsidRPr="007D235E" w:rsidRDefault="0035345B" w:rsidP="0035345B">
            <w:pPr>
              <w:pStyle w:val="ListParagraph"/>
              <w:numPr>
                <w:ilvl w:val="0"/>
                <w:numId w:val="15"/>
              </w:numPr>
              <w:rPr>
                <w:rFonts w:cs="Arial"/>
                <w:sz w:val="18"/>
                <w:szCs w:val="18"/>
              </w:rPr>
            </w:pPr>
            <w:r w:rsidRPr="007D235E">
              <w:rPr>
                <w:rFonts w:cs="Arial"/>
                <w:sz w:val="18"/>
                <w:szCs w:val="18"/>
              </w:rPr>
              <w:t xml:space="preserve">Rotary Alberta Youth Entrepreneurship Camp – Promoted </w:t>
            </w:r>
            <w:r w:rsidR="007D235E" w:rsidRPr="007D235E">
              <w:rPr>
                <w:rFonts w:cs="Arial"/>
                <w:sz w:val="18"/>
                <w:szCs w:val="18"/>
              </w:rPr>
              <w:t>attendance.</w:t>
            </w:r>
          </w:p>
          <w:p w14:paraId="2DDC6DD1" w14:textId="3BECB6C3" w:rsidR="0035345B" w:rsidRPr="007D235E" w:rsidRDefault="007D235E" w:rsidP="0035345B">
            <w:pPr>
              <w:pStyle w:val="ListParagraph"/>
              <w:numPr>
                <w:ilvl w:val="0"/>
                <w:numId w:val="15"/>
              </w:numPr>
              <w:rPr>
                <w:rFonts w:cs="Arial"/>
                <w:sz w:val="18"/>
                <w:szCs w:val="18"/>
              </w:rPr>
            </w:pPr>
            <w:r w:rsidRPr="007D235E">
              <w:rPr>
                <w:rFonts w:cs="Arial"/>
                <w:sz w:val="18"/>
                <w:szCs w:val="18"/>
              </w:rPr>
              <w:t>Lemonade Days – Training and Partnerships in (2) Communities</w:t>
            </w:r>
          </w:p>
          <w:p w14:paraId="5090DDAD" w14:textId="48563DEB" w:rsidR="007D235E" w:rsidRPr="007D235E" w:rsidRDefault="007D235E" w:rsidP="007D235E">
            <w:pPr>
              <w:rPr>
                <w:rFonts w:cs="Arial"/>
                <w:sz w:val="18"/>
                <w:szCs w:val="18"/>
              </w:rPr>
            </w:pPr>
            <w:r w:rsidRPr="007D235E">
              <w:rPr>
                <w:rFonts w:cs="Arial"/>
                <w:sz w:val="18"/>
                <w:szCs w:val="18"/>
              </w:rPr>
              <w:t>Community Program</w:t>
            </w:r>
          </w:p>
          <w:p w14:paraId="248E165C" w14:textId="6304C44D" w:rsidR="00F609C9" w:rsidRPr="007D235E" w:rsidRDefault="007D235E" w:rsidP="007D235E">
            <w:pPr>
              <w:pStyle w:val="ListParagraph"/>
              <w:numPr>
                <w:ilvl w:val="0"/>
                <w:numId w:val="15"/>
              </w:numPr>
              <w:rPr>
                <w:rFonts w:cs="Arial"/>
                <w:sz w:val="16"/>
                <w:szCs w:val="16"/>
              </w:rPr>
            </w:pPr>
            <w:r w:rsidRPr="007D235E">
              <w:rPr>
                <w:rFonts w:cs="Arial"/>
                <w:sz w:val="18"/>
                <w:szCs w:val="18"/>
              </w:rPr>
              <w:t xml:space="preserve">Initiated Business Awards </w:t>
            </w:r>
            <w:r w:rsidR="007B4D01">
              <w:rPr>
                <w:rFonts w:cs="Arial"/>
                <w:sz w:val="18"/>
                <w:szCs w:val="18"/>
              </w:rPr>
              <w:t xml:space="preserve">Recognition </w:t>
            </w:r>
            <w:r w:rsidRPr="007D235E">
              <w:rPr>
                <w:rFonts w:cs="Arial"/>
                <w:sz w:val="18"/>
                <w:szCs w:val="18"/>
              </w:rPr>
              <w:t xml:space="preserve">– Partnership in (2) Communities. </w:t>
            </w:r>
          </w:p>
        </w:tc>
      </w:tr>
    </w:tbl>
    <w:p w14:paraId="661A9A31" w14:textId="77777777" w:rsidR="00F105C2" w:rsidRDefault="00F105C2" w:rsidP="00476214">
      <w:pPr>
        <w:spacing w:before="240"/>
        <w:rPr>
          <w:rFonts w:cs="Arial"/>
          <w:b/>
          <w:i/>
          <w:sz w:val="24"/>
          <w:szCs w:val="20"/>
          <w:u w:val="single"/>
        </w:rPr>
      </w:pPr>
    </w:p>
    <w:sectPr w:rsidR="00F105C2" w:rsidSect="002353F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D2B4" w14:textId="77777777" w:rsidR="002353FB" w:rsidRDefault="002353FB" w:rsidP="00CC123A">
      <w:pPr>
        <w:spacing w:after="0" w:line="240" w:lineRule="auto"/>
      </w:pPr>
      <w:r>
        <w:separator/>
      </w:r>
    </w:p>
  </w:endnote>
  <w:endnote w:type="continuationSeparator" w:id="0">
    <w:p w14:paraId="69F28F55" w14:textId="77777777" w:rsidR="002353FB" w:rsidRDefault="002353FB" w:rsidP="00CC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243BB" w14:textId="77777777" w:rsidR="002353FB" w:rsidRDefault="002353FB" w:rsidP="00CC123A">
      <w:pPr>
        <w:spacing w:after="0" w:line="240" w:lineRule="auto"/>
      </w:pPr>
      <w:r>
        <w:separator/>
      </w:r>
    </w:p>
  </w:footnote>
  <w:footnote w:type="continuationSeparator" w:id="0">
    <w:p w14:paraId="1AC6356A" w14:textId="77777777" w:rsidR="002353FB" w:rsidRDefault="002353FB" w:rsidP="00CC123A">
      <w:pPr>
        <w:spacing w:after="0" w:line="240" w:lineRule="auto"/>
      </w:pPr>
      <w:r>
        <w:continuationSeparator/>
      </w:r>
    </w:p>
  </w:footnote>
  <w:footnote w:id="1">
    <w:p w14:paraId="65946181" w14:textId="77777777" w:rsidR="004E0068" w:rsidRPr="004E0068" w:rsidRDefault="004E0068">
      <w:pPr>
        <w:pStyle w:val="FootnoteText"/>
        <w:rPr>
          <w:lang w:val="en-US"/>
        </w:rPr>
      </w:pPr>
      <w:r>
        <w:rPr>
          <w:rStyle w:val="FootnoteReference"/>
        </w:rPr>
        <w:footnoteRef/>
      </w:r>
      <w:r>
        <w:t xml:space="preserve"> </w:t>
      </w:r>
      <w:r>
        <w:rPr>
          <w:lang w:val="en-US"/>
        </w:rPr>
        <w:t xml:space="preserve">Estimated at the time of </w:t>
      </w:r>
      <w:proofErr w:type="gramStart"/>
      <w:r>
        <w:rPr>
          <w:lang w:val="en-US"/>
        </w:rPr>
        <w:t>lending</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F72E" w14:textId="77777777" w:rsidR="00CC123A" w:rsidRDefault="00CC123A">
    <w:pPr>
      <w:pStyle w:val="Header"/>
    </w:pPr>
    <w:r>
      <w:t>Performance Results for 2013-14</w:t>
    </w:r>
    <w:r w:rsidR="00387C16">
      <w:t xml:space="preserve">   </w:t>
    </w:r>
    <w:r w:rsidR="00387C16" w:rsidRPr="00387C16">
      <w:rPr>
        <w:u w:val="single"/>
      </w:rPr>
      <w:t>Insert Name of CF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A89E" w14:textId="301372E4" w:rsidR="00903BAE" w:rsidRDefault="002F0A60" w:rsidP="00903BAE">
    <w:pPr>
      <w:keepNext/>
      <w:keepLines/>
      <w:tabs>
        <w:tab w:val="left" w:pos="6024"/>
        <w:tab w:val="left" w:pos="7159"/>
      </w:tabs>
      <w:autoSpaceDE w:val="0"/>
      <w:autoSpaceDN w:val="0"/>
      <w:adjustRightInd w:val="0"/>
      <w:jc w:val="center"/>
      <w:rPr>
        <w:rFonts w:cs="Arial"/>
        <w:b/>
        <w:sz w:val="20"/>
        <w:szCs w:val="20"/>
      </w:rPr>
    </w:pPr>
    <w:r>
      <w:t>Performance Results for 20</w:t>
    </w:r>
    <w:r w:rsidR="001048DF">
      <w:t>2</w:t>
    </w:r>
    <w:r w:rsidR="00B91766">
      <w:t>3</w:t>
    </w:r>
    <w:r>
      <w:t>-</w:t>
    </w:r>
    <w:r w:rsidR="00D97949">
      <w:t>2</w:t>
    </w:r>
    <w:r w:rsidR="00B91766">
      <w:t>4</w:t>
    </w:r>
    <w:r w:rsidR="00A9055B">
      <w:t xml:space="preserve">   </w:t>
    </w:r>
    <w:r w:rsidR="004A4B5D">
      <w:rPr>
        <w:u w:val="single"/>
      </w:rPr>
      <w:t>COMMUNITY FUTURES EAST PARKLAND</w:t>
    </w:r>
    <w:r w:rsidR="00903BAE" w:rsidRPr="00903BAE">
      <w:rPr>
        <w:rFonts w:cs="Arial"/>
        <w:b/>
        <w:sz w:val="20"/>
        <w:szCs w:val="20"/>
      </w:rPr>
      <w:t xml:space="preserve"> </w:t>
    </w:r>
  </w:p>
  <w:p w14:paraId="3B696F3E" w14:textId="77777777" w:rsidR="00A9055B" w:rsidRPr="00855202" w:rsidRDefault="00855202" w:rsidP="00855202">
    <w:pPr>
      <w:spacing w:line="240" w:lineRule="auto"/>
      <w:rPr>
        <w:sz w:val="18"/>
        <w:u w:val="single"/>
      </w:rPr>
    </w:pPr>
    <w:r w:rsidRPr="00855202">
      <w:rPr>
        <w:sz w:val="20"/>
        <w:lang w:val="en-GB"/>
      </w:rPr>
      <w:t xml:space="preserve">Community Futures (CF) is a program that supports community economic development and builds the capacity of communities to realize their full sustainable potential.  The purpose of the CF Program is to help communities develop and implement </w:t>
    </w:r>
    <w:r w:rsidRPr="00855202">
      <w:rPr>
        <w:i/>
        <w:iCs/>
        <w:sz w:val="20"/>
        <w:lang w:val="en-GB"/>
      </w:rPr>
      <w:t>local solutions to local problems</w:t>
    </w:r>
    <w:r w:rsidRPr="00855202">
      <w:rPr>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03A4"/>
    <w:multiLevelType w:val="hybridMultilevel"/>
    <w:tmpl w:val="73DE88F8"/>
    <w:lvl w:ilvl="0" w:tplc="7B40C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C209E2"/>
    <w:multiLevelType w:val="hybridMultilevel"/>
    <w:tmpl w:val="1ED4F5FC"/>
    <w:lvl w:ilvl="0" w:tplc="55C613EC">
      <w:start w:val="1"/>
      <w:numFmt w:val="decimal"/>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C633E36"/>
    <w:multiLevelType w:val="hybridMultilevel"/>
    <w:tmpl w:val="150A8936"/>
    <w:lvl w:ilvl="0" w:tplc="AEB62574">
      <w:start w:val="1"/>
      <w:numFmt w:val="decimal"/>
      <w:lvlText w:val="%1."/>
      <w:lvlJc w:val="left"/>
      <w:pPr>
        <w:ind w:left="720" w:hanging="360"/>
      </w:pPr>
      <w:rPr>
        <w:color w:val="000000" w:themeColor="text1"/>
        <w:lang w:val="en-US"/>
      </w:rPr>
    </w:lvl>
    <w:lvl w:ilvl="1" w:tplc="435CACC4">
      <w:numFmt w:val="bullet"/>
      <w:lvlText w:val="•"/>
      <w:lvlJc w:val="left"/>
      <w:pPr>
        <w:ind w:left="1440" w:hanging="360"/>
      </w:pPr>
      <w:rPr>
        <w:rFonts w:ascii="Calibri" w:eastAsiaTheme="minorHAnsi" w:hAnsi="Calibri" w:cstheme="min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30631B"/>
    <w:multiLevelType w:val="hybridMultilevel"/>
    <w:tmpl w:val="A8FECB1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543079C"/>
    <w:multiLevelType w:val="hybridMultilevel"/>
    <w:tmpl w:val="2072F844"/>
    <w:lvl w:ilvl="0" w:tplc="1009000F">
      <w:start w:val="1"/>
      <w:numFmt w:val="decimal"/>
      <w:lvlText w:val="%1."/>
      <w:lvlJc w:val="left"/>
      <w:pPr>
        <w:ind w:left="937" w:hanging="360"/>
      </w:pPr>
    </w:lvl>
    <w:lvl w:ilvl="1" w:tplc="10090019" w:tentative="1">
      <w:start w:val="1"/>
      <w:numFmt w:val="lowerLetter"/>
      <w:lvlText w:val="%2."/>
      <w:lvlJc w:val="left"/>
      <w:pPr>
        <w:ind w:left="1657" w:hanging="360"/>
      </w:pPr>
    </w:lvl>
    <w:lvl w:ilvl="2" w:tplc="1009001B" w:tentative="1">
      <w:start w:val="1"/>
      <w:numFmt w:val="lowerRoman"/>
      <w:lvlText w:val="%3."/>
      <w:lvlJc w:val="right"/>
      <w:pPr>
        <w:ind w:left="2377" w:hanging="180"/>
      </w:pPr>
    </w:lvl>
    <w:lvl w:ilvl="3" w:tplc="1009000F" w:tentative="1">
      <w:start w:val="1"/>
      <w:numFmt w:val="decimal"/>
      <w:lvlText w:val="%4."/>
      <w:lvlJc w:val="left"/>
      <w:pPr>
        <w:ind w:left="3097" w:hanging="360"/>
      </w:pPr>
    </w:lvl>
    <w:lvl w:ilvl="4" w:tplc="10090019" w:tentative="1">
      <w:start w:val="1"/>
      <w:numFmt w:val="lowerLetter"/>
      <w:lvlText w:val="%5."/>
      <w:lvlJc w:val="left"/>
      <w:pPr>
        <w:ind w:left="3817" w:hanging="360"/>
      </w:pPr>
    </w:lvl>
    <w:lvl w:ilvl="5" w:tplc="1009001B" w:tentative="1">
      <w:start w:val="1"/>
      <w:numFmt w:val="lowerRoman"/>
      <w:lvlText w:val="%6."/>
      <w:lvlJc w:val="right"/>
      <w:pPr>
        <w:ind w:left="4537" w:hanging="180"/>
      </w:pPr>
    </w:lvl>
    <w:lvl w:ilvl="6" w:tplc="1009000F" w:tentative="1">
      <w:start w:val="1"/>
      <w:numFmt w:val="decimal"/>
      <w:lvlText w:val="%7."/>
      <w:lvlJc w:val="left"/>
      <w:pPr>
        <w:ind w:left="5257" w:hanging="360"/>
      </w:pPr>
    </w:lvl>
    <w:lvl w:ilvl="7" w:tplc="10090019" w:tentative="1">
      <w:start w:val="1"/>
      <w:numFmt w:val="lowerLetter"/>
      <w:lvlText w:val="%8."/>
      <w:lvlJc w:val="left"/>
      <w:pPr>
        <w:ind w:left="5977" w:hanging="360"/>
      </w:pPr>
    </w:lvl>
    <w:lvl w:ilvl="8" w:tplc="1009001B" w:tentative="1">
      <w:start w:val="1"/>
      <w:numFmt w:val="lowerRoman"/>
      <w:lvlText w:val="%9."/>
      <w:lvlJc w:val="right"/>
      <w:pPr>
        <w:ind w:left="6697" w:hanging="180"/>
      </w:pPr>
    </w:lvl>
  </w:abstractNum>
  <w:abstractNum w:abstractNumId="5" w15:restartNumberingAfterBreak="0">
    <w:nsid w:val="3D98274A"/>
    <w:multiLevelType w:val="hybridMultilevel"/>
    <w:tmpl w:val="ED3471B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C30219D"/>
    <w:multiLevelType w:val="hybridMultilevel"/>
    <w:tmpl w:val="640EE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6B1203"/>
    <w:multiLevelType w:val="hybridMultilevel"/>
    <w:tmpl w:val="41C461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DDA38B4"/>
    <w:multiLevelType w:val="hybridMultilevel"/>
    <w:tmpl w:val="32428F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C628D4"/>
    <w:multiLevelType w:val="hybridMultilevel"/>
    <w:tmpl w:val="793ECCB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063406"/>
    <w:multiLevelType w:val="hybridMultilevel"/>
    <w:tmpl w:val="D07CB9B6"/>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00527A"/>
    <w:multiLevelType w:val="hybridMultilevel"/>
    <w:tmpl w:val="4D44A9F8"/>
    <w:lvl w:ilvl="0" w:tplc="F190B6E0">
      <w:start w:val="7"/>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C71044A"/>
    <w:multiLevelType w:val="hybridMultilevel"/>
    <w:tmpl w:val="995A9550"/>
    <w:lvl w:ilvl="0" w:tplc="BC4AEB10">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4AB17C9"/>
    <w:multiLevelType w:val="multilevel"/>
    <w:tmpl w:val="79C2A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F27EC2"/>
    <w:multiLevelType w:val="hybridMultilevel"/>
    <w:tmpl w:val="9D5095DE"/>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555568">
    <w:abstractNumId w:val="0"/>
  </w:num>
  <w:num w:numId="2" w16cid:durableId="1880701032">
    <w:abstractNumId w:val="12"/>
  </w:num>
  <w:num w:numId="3" w16cid:durableId="161939543">
    <w:abstractNumId w:val="2"/>
  </w:num>
  <w:num w:numId="4" w16cid:durableId="771438517">
    <w:abstractNumId w:val="3"/>
  </w:num>
  <w:num w:numId="5" w16cid:durableId="724913024">
    <w:abstractNumId w:val="10"/>
  </w:num>
  <w:num w:numId="6" w16cid:durableId="1747268389">
    <w:abstractNumId w:val="14"/>
  </w:num>
  <w:num w:numId="7" w16cid:durableId="1280844316">
    <w:abstractNumId w:val="7"/>
  </w:num>
  <w:num w:numId="8" w16cid:durableId="737634763">
    <w:abstractNumId w:val="5"/>
  </w:num>
  <w:num w:numId="9" w16cid:durableId="1280992610">
    <w:abstractNumId w:val="4"/>
  </w:num>
  <w:num w:numId="10" w16cid:durableId="9257713">
    <w:abstractNumId w:val="9"/>
  </w:num>
  <w:num w:numId="11" w16cid:durableId="1523124897">
    <w:abstractNumId w:val="1"/>
  </w:num>
  <w:num w:numId="12" w16cid:durableId="1532036202">
    <w:abstractNumId w:val="13"/>
  </w:num>
  <w:num w:numId="13" w16cid:durableId="1147085122">
    <w:abstractNumId w:val="6"/>
  </w:num>
  <w:num w:numId="14" w16cid:durableId="814877469">
    <w:abstractNumId w:val="8"/>
  </w:num>
  <w:num w:numId="15" w16cid:durableId="591352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3A"/>
    <w:rsid w:val="000032F8"/>
    <w:rsid w:val="00042B8D"/>
    <w:rsid w:val="000A68DF"/>
    <w:rsid w:val="000E446D"/>
    <w:rsid w:val="000F1E3F"/>
    <w:rsid w:val="000F3807"/>
    <w:rsid w:val="000F794C"/>
    <w:rsid w:val="001048DF"/>
    <w:rsid w:val="00124D7E"/>
    <w:rsid w:val="00136C60"/>
    <w:rsid w:val="00164DFE"/>
    <w:rsid w:val="001A0388"/>
    <w:rsid w:val="001A55FE"/>
    <w:rsid w:val="001A5D7A"/>
    <w:rsid w:val="001F63A6"/>
    <w:rsid w:val="0020118B"/>
    <w:rsid w:val="00204964"/>
    <w:rsid w:val="00213578"/>
    <w:rsid w:val="0022039D"/>
    <w:rsid w:val="00232A4A"/>
    <w:rsid w:val="002353FB"/>
    <w:rsid w:val="002733B9"/>
    <w:rsid w:val="002B1845"/>
    <w:rsid w:val="002F0A60"/>
    <w:rsid w:val="00305D11"/>
    <w:rsid w:val="00326C17"/>
    <w:rsid w:val="00352DD5"/>
    <w:rsid w:val="0035345B"/>
    <w:rsid w:val="00370843"/>
    <w:rsid w:val="00387C16"/>
    <w:rsid w:val="003B364D"/>
    <w:rsid w:val="003D46F2"/>
    <w:rsid w:val="003D6046"/>
    <w:rsid w:val="003E2596"/>
    <w:rsid w:val="00416424"/>
    <w:rsid w:val="00435FD8"/>
    <w:rsid w:val="004707C8"/>
    <w:rsid w:val="00476214"/>
    <w:rsid w:val="004A4B5D"/>
    <w:rsid w:val="004E0068"/>
    <w:rsid w:val="00524D65"/>
    <w:rsid w:val="00535C65"/>
    <w:rsid w:val="0055116A"/>
    <w:rsid w:val="0056519D"/>
    <w:rsid w:val="005C3625"/>
    <w:rsid w:val="0061366E"/>
    <w:rsid w:val="00614CA8"/>
    <w:rsid w:val="0063129F"/>
    <w:rsid w:val="00637BD2"/>
    <w:rsid w:val="006C2CCB"/>
    <w:rsid w:val="006C565E"/>
    <w:rsid w:val="006C618A"/>
    <w:rsid w:val="006F52BA"/>
    <w:rsid w:val="006F5326"/>
    <w:rsid w:val="00716865"/>
    <w:rsid w:val="00716BF1"/>
    <w:rsid w:val="00721398"/>
    <w:rsid w:val="0074505F"/>
    <w:rsid w:val="00790628"/>
    <w:rsid w:val="007B4D01"/>
    <w:rsid w:val="007D235E"/>
    <w:rsid w:val="008070B2"/>
    <w:rsid w:val="00855202"/>
    <w:rsid w:val="00876ADF"/>
    <w:rsid w:val="008835BB"/>
    <w:rsid w:val="008B0CCB"/>
    <w:rsid w:val="008F7F84"/>
    <w:rsid w:val="00903BAE"/>
    <w:rsid w:val="0090536B"/>
    <w:rsid w:val="009212B6"/>
    <w:rsid w:val="00971204"/>
    <w:rsid w:val="009F415F"/>
    <w:rsid w:val="00A409F2"/>
    <w:rsid w:val="00A57ABB"/>
    <w:rsid w:val="00A65AAC"/>
    <w:rsid w:val="00A9055B"/>
    <w:rsid w:val="00AD3AAD"/>
    <w:rsid w:val="00B069C6"/>
    <w:rsid w:val="00B3074E"/>
    <w:rsid w:val="00B65BB9"/>
    <w:rsid w:val="00B86B60"/>
    <w:rsid w:val="00B91766"/>
    <w:rsid w:val="00BB1612"/>
    <w:rsid w:val="00BD0981"/>
    <w:rsid w:val="00BE6567"/>
    <w:rsid w:val="00C06A6C"/>
    <w:rsid w:val="00C7787C"/>
    <w:rsid w:val="00C85229"/>
    <w:rsid w:val="00CC123A"/>
    <w:rsid w:val="00CE1F1B"/>
    <w:rsid w:val="00D011D2"/>
    <w:rsid w:val="00D01222"/>
    <w:rsid w:val="00D262DF"/>
    <w:rsid w:val="00D27BC2"/>
    <w:rsid w:val="00D67217"/>
    <w:rsid w:val="00D97949"/>
    <w:rsid w:val="00DA2628"/>
    <w:rsid w:val="00E347D4"/>
    <w:rsid w:val="00E351D5"/>
    <w:rsid w:val="00E361E6"/>
    <w:rsid w:val="00E514E4"/>
    <w:rsid w:val="00E72307"/>
    <w:rsid w:val="00E81EA2"/>
    <w:rsid w:val="00E9578A"/>
    <w:rsid w:val="00EB684E"/>
    <w:rsid w:val="00EC74F0"/>
    <w:rsid w:val="00F019C9"/>
    <w:rsid w:val="00F105C2"/>
    <w:rsid w:val="00F40352"/>
    <w:rsid w:val="00F464A9"/>
    <w:rsid w:val="00F609C9"/>
    <w:rsid w:val="00FA471E"/>
    <w:rsid w:val="00FE5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5987"/>
  <w15:docId w15:val="{54ABAEC8-1A74-4509-B4A0-670D910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3A"/>
    <w:rPr>
      <w:rFonts w:ascii="Tahoma" w:hAnsi="Tahoma" w:cs="Tahoma"/>
      <w:sz w:val="16"/>
      <w:szCs w:val="16"/>
    </w:rPr>
  </w:style>
  <w:style w:type="paragraph" w:styleId="Header">
    <w:name w:val="header"/>
    <w:basedOn w:val="Normal"/>
    <w:link w:val="HeaderChar"/>
    <w:uiPriority w:val="99"/>
    <w:unhideWhenUsed/>
    <w:rsid w:val="00CC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23A"/>
  </w:style>
  <w:style w:type="paragraph" w:styleId="Footer">
    <w:name w:val="footer"/>
    <w:basedOn w:val="Normal"/>
    <w:link w:val="FooterChar"/>
    <w:uiPriority w:val="99"/>
    <w:unhideWhenUsed/>
    <w:rsid w:val="00CC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23A"/>
  </w:style>
  <w:style w:type="paragraph" w:styleId="ListParagraph">
    <w:name w:val="List Paragraph"/>
    <w:basedOn w:val="Normal"/>
    <w:uiPriority w:val="34"/>
    <w:qFormat/>
    <w:rsid w:val="008F7F84"/>
    <w:pPr>
      <w:ind w:left="720"/>
      <w:contextualSpacing/>
    </w:pPr>
  </w:style>
  <w:style w:type="paragraph" w:customStyle="1" w:styleId="Default">
    <w:name w:val="Default"/>
    <w:rsid w:val="008F7F84"/>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table" w:styleId="TableGrid">
    <w:name w:val="Table Grid"/>
    <w:basedOn w:val="TableNormal"/>
    <w:uiPriority w:val="59"/>
    <w:rsid w:val="00F6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55202"/>
    <w:pPr>
      <w:overflowPunct w:val="0"/>
      <w:autoSpaceDE w:val="0"/>
      <w:autoSpaceDN w:val="0"/>
      <w:adjustRightInd w:val="0"/>
      <w:spacing w:after="0" w:line="240" w:lineRule="auto"/>
      <w:textAlignment w:val="baseline"/>
    </w:pPr>
    <w:rPr>
      <w:rFonts w:ascii="Arial" w:eastAsia="Times New Roman" w:hAnsi="Arial" w:cs="Arial"/>
      <w:sz w:val="24"/>
      <w:szCs w:val="20"/>
      <w:lang w:val="en-US"/>
    </w:rPr>
  </w:style>
  <w:style w:type="character" w:customStyle="1" w:styleId="BodyText2Char">
    <w:name w:val="Body Text 2 Char"/>
    <w:basedOn w:val="DefaultParagraphFont"/>
    <w:link w:val="BodyText2"/>
    <w:semiHidden/>
    <w:rsid w:val="00855202"/>
    <w:rPr>
      <w:rFonts w:ascii="Arial" w:eastAsia="Times New Roman" w:hAnsi="Arial" w:cs="Arial"/>
      <w:sz w:val="24"/>
      <w:szCs w:val="20"/>
      <w:lang w:val="en-US"/>
    </w:rPr>
  </w:style>
  <w:style w:type="character" w:styleId="CommentReference">
    <w:name w:val="annotation reference"/>
    <w:basedOn w:val="DefaultParagraphFont"/>
    <w:uiPriority w:val="99"/>
    <w:semiHidden/>
    <w:unhideWhenUsed/>
    <w:rsid w:val="00855202"/>
    <w:rPr>
      <w:sz w:val="16"/>
      <w:szCs w:val="16"/>
    </w:rPr>
  </w:style>
  <w:style w:type="paragraph" w:styleId="CommentText">
    <w:name w:val="annotation text"/>
    <w:basedOn w:val="Normal"/>
    <w:link w:val="CommentTextChar"/>
    <w:uiPriority w:val="99"/>
    <w:semiHidden/>
    <w:unhideWhenUsed/>
    <w:rsid w:val="00855202"/>
    <w:pPr>
      <w:spacing w:line="240" w:lineRule="auto"/>
    </w:pPr>
    <w:rPr>
      <w:sz w:val="20"/>
      <w:szCs w:val="20"/>
    </w:rPr>
  </w:style>
  <w:style w:type="character" w:customStyle="1" w:styleId="CommentTextChar">
    <w:name w:val="Comment Text Char"/>
    <w:basedOn w:val="DefaultParagraphFont"/>
    <w:link w:val="CommentText"/>
    <w:uiPriority w:val="99"/>
    <w:semiHidden/>
    <w:rsid w:val="00855202"/>
    <w:rPr>
      <w:sz w:val="20"/>
      <w:szCs w:val="20"/>
    </w:rPr>
  </w:style>
  <w:style w:type="paragraph" w:styleId="CommentSubject">
    <w:name w:val="annotation subject"/>
    <w:basedOn w:val="CommentText"/>
    <w:next w:val="CommentText"/>
    <w:link w:val="CommentSubjectChar"/>
    <w:uiPriority w:val="99"/>
    <w:semiHidden/>
    <w:unhideWhenUsed/>
    <w:rsid w:val="00855202"/>
    <w:rPr>
      <w:b/>
      <w:bCs/>
    </w:rPr>
  </w:style>
  <w:style w:type="character" w:customStyle="1" w:styleId="CommentSubjectChar">
    <w:name w:val="Comment Subject Char"/>
    <w:basedOn w:val="CommentTextChar"/>
    <w:link w:val="CommentSubject"/>
    <w:uiPriority w:val="99"/>
    <w:semiHidden/>
    <w:rsid w:val="00855202"/>
    <w:rPr>
      <w:b/>
      <w:bCs/>
      <w:sz w:val="20"/>
      <w:szCs w:val="20"/>
    </w:rPr>
  </w:style>
  <w:style w:type="character" w:styleId="Hyperlink">
    <w:name w:val="Hyperlink"/>
    <w:basedOn w:val="DefaultParagraphFont"/>
    <w:uiPriority w:val="99"/>
    <w:unhideWhenUsed/>
    <w:rsid w:val="000A68DF"/>
    <w:rPr>
      <w:color w:val="0000FF" w:themeColor="hyperlink"/>
      <w:u w:val="single"/>
    </w:rPr>
  </w:style>
  <w:style w:type="paragraph" w:styleId="FootnoteText">
    <w:name w:val="footnote text"/>
    <w:basedOn w:val="Normal"/>
    <w:link w:val="FootnoteTextChar"/>
    <w:uiPriority w:val="99"/>
    <w:semiHidden/>
    <w:unhideWhenUsed/>
    <w:rsid w:val="004E0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068"/>
    <w:rPr>
      <w:sz w:val="20"/>
      <w:szCs w:val="20"/>
    </w:rPr>
  </w:style>
  <w:style w:type="character" w:styleId="FootnoteReference">
    <w:name w:val="footnote reference"/>
    <w:basedOn w:val="DefaultParagraphFont"/>
    <w:uiPriority w:val="99"/>
    <w:semiHidden/>
    <w:unhideWhenUsed/>
    <w:rsid w:val="004E0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220805">
      <w:bodyDiv w:val="1"/>
      <w:marLeft w:val="0"/>
      <w:marRight w:val="0"/>
      <w:marTop w:val="0"/>
      <w:marBottom w:val="0"/>
      <w:divBdr>
        <w:top w:val="none" w:sz="0" w:space="0" w:color="auto"/>
        <w:left w:val="none" w:sz="0" w:space="0" w:color="auto"/>
        <w:bottom w:val="none" w:sz="0" w:space="0" w:color="auto"/>
        <w:right w:val="none" w:sz="0" w:space="0" w:color="auto"/>
      </w:divBdr>
      <w:divsChild>
        <w:div w:id="1974748470">
          <w:marLeft w:val="0"/>
          <w:marRight w:val="0"/>
          <w:marTop w:val="0"/>
          <w:marBottom w:val="0"/>
          <w:divBdr>
            <w:top w:val="none" w:sz="0" w:space="0" w:color="auto"/>
            <w:left w:val="none" w:sz="0" w:space="0" w:color="auto"/>
            <w:bottom w:val="none" w:sz="0" w:space="0" w:color="auto"/>
            <w:right w:val="none" w:sz="0" w:space="0" w:color="auto"/>
          </w:divBdr>
          <w:divsChild>
            <w:div w:id="1122383982">
              <w:marLeft w:val="0"/>
              <w:marRight w:val="0"/>
              <w:marTop w:val="0"/>
              <w:marBottom w:val="0"/>
              <w:divBdr>
                <w:top w:val="none" w:sz="0" w:space="0" w:color="auto"/>
                <w:left w:val="none" w:sz="0" w:space="0" w:color="auto"/>
                <w:bottom w:val="none" w:sz="0" w:space="0" w:color="auto"/>
                <w:right w:val="none" w:sz="0" w:space="0" w:color="auto"/>
              </w:divBdr>
              <w:divsChild>
                <w:div w:id="128669697">
                  <w:marLeft w:val="0"/>
                  <w:marRight w:val="0"/>
                  <w:marTop w:val="0"/>
                  <w:marBottom w:val="0"/>
                  <w:divBdr>
                    <w:top w:val="none" w:sz="0" w:space="0" w:color="auto"/>
                    <w:left w:val="none" w:sz="0" w:space="0" w:color="auto"/>
                    <w:bottom w:val="none" w:sz="0" w:space="0" w:color="auto"/>
                    <w:right w:val="none" w:sz="0" w:space="0" w:color="auto"/>
                  </w:divBdr>
                  <w:divsChild>
                    <w:div w:id="51053574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859A-74D5-4FDC-83F0-141021F0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Western Economic Diversification</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Cahoon</dc:creator>
  <cp:keywords/>
  <dc:description/>
  <cp:lastModifiedBy>Sherry Lynn Twa</cp:lastModifiedBy>
  <cp:revision>2</cp:revision>
  <cp:lastPrinted>2024-05-01T22:17:00Z</cp:lastPrinted>
  <dcterms:created xsi:type="dcterms:W3CDTF">2024-05-08T21:09:00Z</dcterms:created>
  <dcterms:modified xsi:type="dcterms:W3CDTF">2024-05-08T21:09:00Z</dcterms:modified>
</cp:coreProperties>
</file>